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800" w:type="dxa"/>
        <w:gridCol w:w="459200" w:type="dxa"/>
      </w:tblGrid>
      <w:tblPr>
        <w:tblW w:w="374550" w:type="pct"/>
        <w:tblLayout w:type="autofit"/>
        <w:bidiVisual w:val="0"/>
      </w:tblPr>
      <w:tr>
        <w:trPr>
          <w:tblHeader w:val="1"/>
        </w:trPr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Política de Gestión de Documentos Electrónicos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 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 Esquema de Metadatos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 Plan de preservación digital del Ayuntamiento de Tinajo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  <w:tr>
        <w:trPr/>
        <w:tc>
          <w:tcPr>
            <w:tcW w:w="31800" w:type="pct"/>
            <w:vAlign w:val="center"/>
          </w:tcPr>
          <w:p>
            <w:pPr>
              <w:jc w:val="center"/>
            </w:pPr>
            <w:r>
              <w:rPr/>
              <w:t xml:space="preserve">ANEXO III Cuadro de Clasificación de Documentos</w:t>
            </w:r>
          </w:p>
        </w:tc>
        <w:tc>
          <w:tcPr>
            <w:tcW w:w="4592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   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2026-06-19T20:37:01+00:00</dcterms:created>
  <dcterms:modified xsi:type="dcterms:W3CDTF">2026-06-19T20:37:01+00:00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