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Al objeto de dar cumplimiento a los Indicadores de la Ley Canaria de Transparencia (Ley 12/2014, de 26 de diciembre) en su apartado "Resoluciones denegatorias. 1199. Resoluciones denegatorias previa disociación de los datos de carácter personal”, desde el Ayuntamiento de Tinajo, se pone en conocimiento de la ciudadanía y del público en general, que durante los ejercicios 2022, 2023 y 2025 no existió actividad en este apartado pudiendo utilizar la ciudadanía los medios legalmente establecidos para ejercer su derecho de acceso a la información pública.</w:t>
      </w:r>
    </w:p>
    <w:tbl>
      <w:tblGrid>
        <w:gridCol w:w="27550" w:type="dxa"/>
        <w:gridCol w:w="489550" w:type="dxa"/>
        <w:gridCol w:w="14650" w:type="dxa"/>
      </w:tblGrid>
      <w:tblPr>
        <w:tblW w:w="489850" w:type="pct"/>
        <w:tblLayout w:type="autofit"/>
        <w:bidiVisual w:val="0"/>
      </w:tblPr>
      <w:tr>
        <w:trPr>
          <w:tblHeader w:val="1"/>
        </w:trPr>
        <w:tc>
          <w:tcPr>
            <w:tcW w:w="27550" w:type="pct"/>
            <w:vAlign w:val="center"/>
          </w:tcPr>
          <w:p>
            <w:pPr>
              <w:jc w:val="center"/>
            </w:pPr>
            <w:r>
              <w:rPr/>
              <w:t xml:space="preserve">Año</w:t>
            </w:r>
          </w:p>
        </w:tc>
        <w:tc>
          <w:tcPr>
            <w:tcW w:w="489550" w:type="pct"/>
            <w:vAlign w:val="center"/>
          </w:tcPr>
          <w:p>
            <w:pPr>
              <w:jc w:val="center"/>
            </w:pPr>
            <w:r>
              <w:rPr/>
              <w:t xml:space="preserve">Documento</w:t>
            </w:r>
          </w:p>
        </w:tc>
        <w:tc>
          <w:tcPr>
            <w:tcW w:w="14650" w:type="pct"/>
            <w:vAlign w:val="center"/>
          </w:tcPr>
          <w:p>
            <w:pPr>
              <w:jc w:val="center"/>
            </w:pPr>
            <w:r>
              <w:rPr/>
              <w:t xml:space="preserve">Descargar</w:t>
            </w:r>
          </w:p>
        </w:tc>
      </w:tr>
      <w:tr>
        <w:trPr/>
        <w:tc>
          <w:tcPr>
            <w:tcW w:w="27550" w:type="pct"/>
            <w:vAlign w:val="center"/>
          </w:tcPr>
          <w:p>
            <w:pPr>
              <w:jc w:val="center"/>
            </w:pPr>
            <w:r>
              <w:rPr/>
              <w:t xml:space="preserve">2022/2023</w:t>
            </w:r>
          </w:p>
        </w:tc>
        <w:tc>
          <w:tcPr>
            <w:tcW w:w="489550" w:type="pct"/>
            <w:vAlign w:val="center"/>
          </w:tcPr>
          <w:p>
            <w:pPr>
              <w:jc w:val="center"/>
            </w:pPr>
            <w:r>
              <w:rPr/>
              <w:t xml:space="preserve">Certificado</w:t>
            </w:r>
          </w:p>
        </w:tc>
        <w:tc>
          <w:tcPr>
            <w:tcW w:w="1465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2026-11-02T10:59:18+00:00</dcterms:created>
  <dcterms:modified xsi:type="dcterms:W3CDTF">2026-11-02T10:59:18+00:00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