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jc w:val="both"/>
      </w:pPr>
      <w:r>
        <w:rPr>
          <w:b w:val="1"/>
          <w:bCs w:val="1"/>
        </w:rPr>
        <w:t xml:space="preserve">Durante los ejercicios 2023. 2024 y 2025 no se han recibido preguntas frecuentes genéricas sobre licitaciones, todas las preguntas recibidas han sido en referencia a los pliegos de cada licitación.</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jc w:val="both"/>
      </w:pPr>
      <w:r>
        <w:rPr/>
        <w:t xml:space="preserve"> </w:t>
      </w:r>
    </w:p>
    <w:p>
      <w:pPr>
        <w:pStyle w:val="Heading4"/>
      </w:pPr>
      <w:r>
        <w:rPr>
          <w:b w:val="1"/>
          <w:bCs w:val="1"/>
        </w:rPr>
        <w:t xml:space="preserve">Preguntas frecuentes y aclaraciones relativas al contenido de los contratos</w:t>
      </w:r>
      <w:r>
        <w:rPr/>
        <w:t xml:space="preserve"> </w:t>
      </w:r>
    </w:p>
    <w:p>
      <w:pPr>
        <w:jc w:val="both"/>
      </w:pPr>
      <w:r>
        <w:rPr/>
        <w:t xml:space="preserve">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 y por tanto el Ayuntamiento de Santa Cruz de la Palma.</w:t>
      </w:r>
      <w:r>
        <w:rPr/>
        <w:t xml:space="preserve"> </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del Ayuntamiento de Santa Cruz de la Palma?</w:t>
      </w:r>
      <w:r>
        <w:rPr>
          <w:b w:val="1"/>
          <w:bCs w:val="1"/>
        </w:rPr>
        <w:t xml:space="preserve"> </w:t>
      </w:r>
    </w:p>
    <w:p>
      <w:pPr>
        <w:jc w:val="both"/>
      </w:pPr>
      <w:r>
        <w:rPr/>
        <w:t xml:space="preserve">Se ha optado por alojar los perfiles de contratante de sus órganos de contratación en </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2026-09-18T10:05:17+00:00</dcterms:created>
  <dcterms:modified xsi:type="dcterms:W3CDTF">2026-09-18T10:05:17+00:00</dcterms:modified>
</cp:coreProperties>
</file>

<file path=docProps/custom.xml><?xml version="1.0" encoding="utf-8"?>
<Properties xmlns="http://schemas.openxmlformats.org/officeDocument/2006/custom-properties" xmlns:vt="http://schemas.openxmlformats.org/officeDocument/2006/docPropsVTypes"/>
</file>