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b w:val="1"/>
          <w:bCs w:val="1"/>
        </w:rPr>
        <w:t xml:space="preserve">Durante los ejercicios 2023. 2024 y 2025 no se han recibido preguntas frecuentes genéricas sobre licitaciones, todas las preguntas recibidas han sido en referencia a los pliegos de cada licitación.</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 </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Santa Cruz de la Palma.</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Santa Cruz de la Palma?</w:t>
      </w:r>
      <w:r>
        <w:rPr>
          <w:b w:val="1"/>
          <w:bCs w:val="1"/>
        </w:rPr>
        <w:t xml:space="preserve"> </w:t>
      </w:r>
    </w:p>
    <w:p>
      <w:pPr>
        <w:jc w:val="both"/>
      </w:pPr>
      <w:r>
        <w:rPr/>
        <w:t xml:space="preserve">Se ha optado por alojar los perfiles de contratante de sus órganos de contratación en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2026-06-19T20:40:12+00:00</dcterms:created>
  <dcterms:modified xsi:type="dcterms:W3CDTF">2026-06-19T20:40:12+00:00</dcterms:modified>
</cp:coreProperties>
</file>

<file path=docProps/custom.xml><?xml version="1.0" encoding="utf-8"?>
<Properties xmlns="http://schemas.openxmlformats.org/officeDocument/2006/custom-properties" xmlns:vt="http://schemas.openxmlformats.org/officeDocument/2006/docPropsVTypes"/>
</file>