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en su apartado </w:t>
      </w:r>
      <w:r>
        <w:rPr>
          <w:b w:val="1"/>
          <w:bCs w:val="1"/>
        </w:rPr>
        <w:t xml:space="preserve">Personal eventual</w:t>
      </w:r>
      <w:r>
        <w:rPr/>
        <w:t xml:space="preserve">, desde el Ayuntamiento de Tinajo, se pone en conocimiento de la ciudadanía y del público en general, que durante los ejercicios, </w:t>
      </w:r>
      <w:r>
        <w:rPr>
          <w:b w:val="1"/>
          <w:bCs w:val="1"/>
        </w:rPr>
        <w:t xml:space="preserve">2023, 2024  y 2025 </w:t>
      </w:r>
      <w:r>
        <w:rPr/>
        <w:t xml:space="preserve">no se han nombrado ni han existido puestos de personal eventual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63700" w:type="dxa"/>
        <w:gridCol w:w="391150" w:type="dxa"/>
        <w:gridCol w:w="5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Indicador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Identificación y nombramiento o, en su caso, régimen de contrato laboral; formación y trayectoria profesional; funciones asignadas; órgano o directivo al que presta servicio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63700" w:type="pct"/>
            <w:vAlign w:val="center"/>
          </w:tcPr>
          <w:p>
            <w:pPr>
              <w:jc w:val="center"/>
            </w:pPr>
            <w:r>
              <w:rPr/>
              <w:t xml:space="preserve"> 1052</w:t>
            </w:r>
          </w:p>
        </w:tc>
        <w:tc>
          <w:tcPr>
            <w:tcW w:w="391150" w:type="pct"/>
            <w:vAlign w:val="center"/>
          </w:tcPr>
          <w:p>
            <w:pPr>
              <w:jc w:val="center"/>
            </w:pPr>
            <w:r>
              <w:rPr/>
              <w:t xml:space="preserve">Información general de las retribuciones, articulada en función de la clase o categoría</w:t>
            </w:r>
          </w:p>
        </w:tc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2026-08-03T23:37:12+00:00</dcterms:created>
  <dcterms:modified xsi:type="dcterms:W3CDTF">2026-08-03T23:37:12+00:00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