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No existen Bienes inmuebles cedidos a terceros por cualquier título Persona o entidad beneficiaria y destino de la cesión en los ejercicios 2023, 2024 y 2025.</w:t>
      </w:r>
    </w:p>
    <w:p>
      <w:pPr>
        <w:jc w:val="start"/>
      </w:pPr>
      <w:r>
        <w:rPr/>
        <w:t xml:space="preserve"> 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394700" w:type="pct"/>
            <w:vAlign w:val="center"/>
          </w:tcPr>
          <w:p>
            <w:pPr>
              <w:jc w:val="start"/>
            </w:pPr>
            <w:r>
              <w:rPr>
                <w:rFonts w:ascii="Verdana" w:hAnsi="Verdana" w:eastAsia="Verdana" w:cs="Verdana"/>
              </w:rPr>
              <w:t xml:space="preserve">Bienes inmuebles cedidos a terceros por cualquier título Persona o entidad beneficiaria y destino de la cesión.</w:t>
            </w:r>
          </w:p>
        </w:tc>
        <w:tc>
          <w:tcPr>
            <w:tcW w:w="173050" w:type="pct"/>
            <w:vAlign w:val="center"/>
          </w:tcPr>
          <w:p>
            <w:pPr>
              <w:jc w:val="center"/>
            </w:pPr>
          </w:p>
        </w:tc>
        <w:tc>
          <w:tcPr>
            <w:tcW w:w="240300" w:type="pct"/>
            <w:vAlign w:val="center"/>
          </w:tcPr>
          <w:p>
            <w:pPr>
              <w:jc w:val="center"/>
            </w:pPr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2026-09-18T10:06:03+00:00</dcterms:created>
  <dcterms:modified xsi:type="dcterms:W3CDTF">2026-09-18T10:06:03+00:00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