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</w:pPr>
      <w:r>
        <w:rPr/>
        <w:t xml:space="preserve">En el Ayuntamiento de Tinajo no ha realizado encomiendas de gestión ni encargos a medios propios por importe superior a 5.000 €, IGIC excluido durante los ejercicios 2023, 2024 y 2025, por lo que no se puede ofrecer información sobre tarifas y precios.</w:t>
      </w:r>
    </w:p>
    <w:tbl>
      <w:tblGrid>
        <w:gridCol w:w="244650" w:type="dxa"/>
        <w:gridCol w:w="394700" w:type="dxa"/>
        <w:gridCol w:w="173050" w:type="dxa"/>
        <w:gridCol w:w="240300" w:type="dxa"/>
      </w:tblGrid>
      <w:tblPr>
        <w:tblW w:w="34200" w:type="pct"/>
        <w:tblLayout w:type="autofit"/>
        <w:bidiVisual w:val="0"/>
      </w:tblPr>
      <w:tr>
        <w:trPr>
          <w:tblHeader w:val="1"/>
        </w:trPr>
        <w:tc>
          <w:tcPr>
            <w:tcW w:w="244650" w:type="pct"/>
          </w:tcPr>
          <w:p>
            <w:pPr/>
            <w:r>
              <w:rPr/>
              <w:t xml:space="preserve">Año</w:t>
            </w:r>
          </w:p>
        </w:tc>
        <w:tc>
          <w:tcPr>
            <w:tcW w:w="394700" w:type="pct"/>
          </w:tcPr>
          <w:p>
            <w:pPr/>
            <w:r>
              <w:rPr/>
              <w:t xml:space="preserve">Denominación</w:t>
            </w:r>
          </w:p>
        </w:tc>
        <w:tc>
          <w:tcPr>
            <w:tcW w:w="173050" w:type="pct"/>
          </w:tcPr>
          <w:p>
            <w:pPr/>
            <w:r>
              <w:rPr/>
              <w:t xml:space="preserve">Documento</w:t>
            </w:r>
          </w:p>
        </w:tc>
        <w:tc>
          <w:tcPr>
            <w:tcW w:w="240300" w:type="pct"/>
          </w:tcPr>
          <w:p>
            <w:pPr/>
            <w:r>
              <w:rPr/>
              <w:t xml:space="preserve">Formato Abierto</w:t>
            </w:r>
          </w:p>
        </w:tc>
      </w:tr>
      <w:tr>
        <w:trPr/>
        <w:tc>
          <w:tcPr>
            <w:tcW w:w="244650" w:type="pct"/>
          </w:tcPr>
          <w:p>
            <w:pPr/>
            <w:r>
              <w:rPr/>
              <w:t xml:space="preserve">2023/2024</w:t>
            </w:r>
          </w:p>
        </w:tc>
        <w:tc>
          <w:tcPr>
            <w:tcW w:w="394700" w:type="pct"/>
          </w:tcPr>
          <w:p>
            <w:pPr/>
            <w:r>
              <w:rPr>
                <w:rFonts w:ascii="Verdana" w:hAnsi="Verdana" w:eastAsia="Verdana" w:cs="Verdana"/>
                <w:color w:val="000000"/>
              </w:rPr>
              <w:t xml:space="preserve">Tarifas y precios fijados</w:t>
            </w:r>
          </w:p>
        </w:tc>
        <w:tc>
          <w:tcPr>
            <w:tcW w:w="173050" w:type="pct"/>
          </w:tcPr>
          <w:p>
            <w:pPr/>
          </w:p>
        </w:tc>
        <w:tc>
          <w:tcPr>
            <w:tcW w:w="240300" w:type="pct"/>
          </w:tcPr>
          <w:p>
            <w:pPr/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2026-06-19T21:29:18+00:00</dcterms:created>
  <dcterms:modified xsi:type="dcterms:W3CDTF">2026-06-19T21:29:18+00:00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