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18. Estadísticas, concretamente en el subapartado 1195 </w:t>
      </w:r>
      <w:r>
        <w:rPr>
          <w:rFonts w:ascii="Verdana" w:hAnsi="Verdana" w:eastAsia="Verdana" w:cs="Verdana"/>
          <w:b w:val="1"/>
          <w:bCs w:val="1"/>
        </w:rPr>
        <w:t xml:space="preserve">“Información estadística necesaria para valorar el grado de cumplimiento y calidad de los servicios públicos que sean de su competencia.”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 2023, 2024</w:t>
      </w:r>
      <w:r>
        <w:rPr>
          <w:rFonts w:ascii="Verdana" w:hAnsi="Verdana" w:eastAsia="Verdana" w:cs="Verdana"/>
          <w:b w:val="1"/>
          <w:bCs w:val="1"/>
        </w:rPr>
        <w:t xml:space="preserve"> </w:t>
      </w:r>
      <w:r>
        <w:rPr>
          <w:rFonts w:ascii="Verdana" w:hAnsi="Verdana" w:eastAsia="Verdana" w:cs="Verdana"/>
        </w:rPr>
        <w:t xml:space="preserve">y</w:t>
      </w:r>
      <w:r>
        <w:rPr>
          <w:rFonts w:ascii="Verdana" w:hAnsi="Verdana" w:eastAsia="Verdana" w:cs="Verdana"/>
          <w:b w:val="1"/>
          <w:bCs w:val="1"/>
        </w:rPr>
        <w:t xml:space="preserve">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Información estadística necesaria para valorar el grado de cumplimiento y calidad de los servicios públicos que sean de su competencia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2026-09-18T10:04:42+00:00</dcterms:created>
  <dcterms:modified xsi:type="dcterms:W3CDTF">2026-09-18T10:04:42+00:00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