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Verdana" w:hAnsi="Verdana" w:eastAsia="Verdana" w:cs="Verdana"/>
        </w:rPr>
        <w:t xml:space="preserve">Al objeto de dar cumplimiento a los Indicadores de la Ley Canaria de Transparencia (Ley 12/2014, de 26 de diciembre) en su apartado 18. Estadísticas, concretamente en el subapartado 1195 </w:t>
      </w:r>
      <w:r>
        <w:rPr>
          <w:rFonts w:ascii="Verdana" w:hAnsi="Verdana" w:eastAsia="Verdana" w:cs="Verdana"/>
          <w:b w:val="1"/>
          <w:bCs w:val="1"/>
        </w:rPr>
        <w:t xml:space="preserve">“Información estadística necesaria para valorar el grado de cumplimiento y calidad de los servicios públicos que sean de su competencia.”</w:t>
      </w:r>
      <w:r>
        <w:rPr>
          <w:rFonts w:ascii="Verdana" w:hAnsi="Verdana" w:eastAsia="Verdana" w:cs="Verdana"/>
        </w:rPr>
        <w:t xml:space="preserve">, desde el Ayuntamiento de Tinajo, se pone en conocimiento de la ciudadanía y del público en general, que durante los ejercicios, 2023, 2024</w:t>
      </w:r>
      <w:r>
        <w:rPr>
          <w:rFonts w:ascii="Verdana" w:hAnsi="Verdana" w:eastAsia="Verdana" w:cs="Verdana"/>
          <w:b w:val="1"/>
          <w:bCs w:val="1"/>
        </w:rPr>
        <w:t xml:space="preserve"> </w:t>
      </w:r>
      <w:r>
        <w:rPr>
          <w:rFonts w:ascii="Verdana" w:hAnsi="Verdana" w:eastAsia="Verdana" w:cs="Verdana"/>
        </w:rPr>
        <w:t xml:space="preserve">y</w:t>
      </w:r>
      <w:r>
        <w:rPr>
          <w:rFonts w:ascii="Verdana" w:hAnsi="Verdana" w:eastAsia="Verdana" w:cs="Verdana"/>
          <w:b w:val="1"/>
          <w:bCs w:val="1"/>
        </w:rPr>
        <w:t xml:space="preserve"> 2025</w:t>
      </w:r>
      <w:r>
        <w:rPr>
          <w:rFonts w:ascii="Verdana" w:hAnsi="Verdana" w:eastAsia="Verdana" w:cs="Verdana"/>
        </w:rPr>
        <w:t xml:space="preserve"> no existió actividad en este apartado pudiendo utilizar la ciudadanía los medios legalmente establecidos para ejercer su derecho de acceso a la información pública.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Información estadística necesaria para valorar el grado de cumplimiento y calidad de los servicios públicos que sean de su competencia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2026-08-03T23:41:14+00:00</dcterms:created>
  <dcterms:modified xsi:type="dcterms:W3CDTF">2026-08-03T23:41:14+00:00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