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5. Retribuciones, concretamente en el subapartado 1050 </w:t>
      </w:r>
      <w:r>
        <w:rPr>
          <w:rFonts w:ascii="Verdana" w:hAnsi="Verdana" w:eastAsia="Verdana" w:cs="Verdana"/>
          <w:b w:val="1"/>
          <w:bCs w:val="1"/>
        </w:rPr>
        <w:t xml:space="preserve">“Indemnizaciones percibidas por ocasión del abandono del cargo.”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</w:t>
      </w:r>
      <w:r>
        <w:rPr>
          <w:rFonts w:ascii="Verdana" w:hAnsi="Verdana" w:eastAsia="Verdana" w:cs="Verdana"/>
          <w:b w:val="1"/>
          <w:bCs w:val="1"/>
        </w:rPr>
        <w:t xml:space="preserve"> 2023, 2024 y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2026-08-03T23:40:53+00:00</dcterms:created>
  <dcterms:modified xsi:type="dcterms:W3CDTF">2026-08-03T23:40:53+00:00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