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5. Retribuciones, concretamente en el subapartado 1050 </w:t>
      </w:r>
      <w:r>
        <w:rPr>
          <w:rFonts w:ascii="Verdana" w:hAnsi="Verdana" w:eastAsia="Verdana" w:cs="Verdana"/>
          <w:b w:val="1"/>
          <w:bCs w:val="1"/>
        </w:rPr>
        <w:t xml:space="preserve">“Indemnizaciones percibidas por ocasión del abandono del cargo.”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</w:t>
      </w:r>
      <w:r>
        <w:rPr>
          <w:rFonts w:ascii="Verdana" w:hAnsi="Verdana" w:eastAsia="Verdana" w:cs="Verdana"/>
          <w:b w:val="1"/>
          <w:bCs w:val="1"/>
        </w:rPr>
        <w:t xml:space="preserve"> 2023, 2024 y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2026-09-18T10:04:28+00:00</dcterms:created>
  <dcterms:modified xsi:type="dcterms:W3CDTF">2026-09-18T10:04:28+00:00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