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5. Retribuciones, concretamente en el subapartado 1050 </w:t>
      </w:r>
      <w:r>
        <w:rPr>
          <w:rFonts w:ascii="Verdana" w:hAnsi="Verdana" w:eastAsia="Verdana" w:cs="Verdana"/>
          <w:b w:val="1"/>
          <w:bCs w:val="1"/>
        </w:rPr>
        <w:t xml:space="preserve">“Indemnizaciones percibidas por ocasión del abandono del cargo.”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2026-06-19T20:40:57+00:00</dcterms:created>
  <dcterms:modified xsi:type="dcterms:W3CDTF">2026-06-19T20:40:57+00:00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