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5. Retribuciones, concretamente en el subapartado </w:t>
      </w:r>
      <w:r>
        <w:rPr>
          <w:b w:val="1"/>
          <w:bCs w:val="1"/>
        </w:rPr>
        <w:t xml:space="preserve">“1034 Resoluciones que autoricen el ejercicio de la actividad privada al cese de los altos cargos y asimilados.”</w:t>
      </w:r>
      <w:r>
        <w:rPr/>
        <w:t xml:space="preserve">, desde el Ayuntamiento de Tinajo, se pone en conocimiento de la ciudadanía y del público en general, que durante los ejercicios,</w:t>
      </w:r>
      <w:r>
        <w:rPr>
          <w:b w:val="1"/>
          <w:bCs w:val="1"/>
        </w:rPr>
        <w:t xml:space="preserve"> 2023 y 2024 </w:t>
      </w:r>
      <w:r>
        <w:rPr/>
        <w:t xml:space="preserve">no existió actividad en este apartado pudiendo utilizar la ciudadanía los medios legalmente establecidos para ejercer su derecho de acceso a la información pública.</w:t>
      </w:r>
    </w:p>
    <w:p>
      <w:pPr/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/>
              <w:t xml:space="preserve">Resoluciones que autoricen el ejercicio de la actividad privada al cese de los altos cargos y asimilados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2026-09-18T10:05:15+00:00</dcterms:created>
  <dcterms:modified xsi:type="dcterms:W3CDTF">2026-09-18T10:05:15+00:00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